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5C00E" w14:textId="77777777" w:rsidR="00E53645" w:rsidRDefault="00B933F9">
      <w:pPr>
        <w:keepNext/>
        <w:rPr>
          <w:rFonts w:ascii="Arial" w:eastAsia="Arial" w:hAnsi="Arial" w:cs="Arial"/>
          <w:b/>
          <w:sz w:val="36"/>
          <w:szCs w:val="36"/>
        </w:rPr>
      </w:pPr>
      <w:bookmarkStart w:id="0" w:name="_GoBack"/>
      <w:bookmarkEnd w:id="0"/>
      <w:r>
        <w:rPr>
          <w:rFonts w:ascii="Arial" w:eastAsia="Arial" w:hAnsi="Arial" w:cs="Arial"/>
          <w:b/>
          <w:sz w:val="36"/>
          <w:szCs w:val="36"/>
        </w:rPr>
        <w:t xml:space="preserve">Order Schedule 18 (Background Checks) </w:t>
      </w:r>
    </w:p>
    <w:p w14:paraId="2C95C00F" w14:textId="77777777" w:rsidR="00E53645" w:rsidRDefault="00B933F9">
      <w:pPr>
        <w:keepNext/>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14:paraId="2C95C010" w14:textId="77777777" w:rsidR="00E53645" w:rsidRDefault="00B933F9">
      <w:pPr>
        <w:rPr>
          <w:rFonts w:ascii="Arial" w:eastAsia="Arial" w:hAnsi="Arial" w:cs="Arial"/>
          <w:sz w:val="24"/>
          <w:szCs w:val="24"/>
        </w:rPr>
      </w:pPr>
      <w:r>
        <w:rPr>
          <w:rFonts w:ascii="Arial" w:eastAsia="Arial" w:hAnsi="Arial" w:cs="Arial"/>
          <w:sz w:val="24"/>
          <w:szCs w:val="24"/>
        </w:rPr>
        <w:t xml:space="preserve">This Schedule should be used where Supplier Staff must be vetted before working on the Contract. </w:t>
      </w:r>
    </w:p>
    <w:p w14:paraId="2C95C011" w14:textId="77777777" w:rsidR="00E53645" w:rsidRDefault="00B933F9">
      <w:pPr>
        <w:keepNext/>
        <w:numPr>
          <w:ilvl w:val="0"/>
          <w:numId w:val="1"/>
        </w:numPr>
        <w:pBdr>
          <w:top w:val="nil"/>
          <w:left w:val="nil"/>
          <w:bottom w:val="nil"/>
          <w:right w:val="nil"/>
          <w:between w:val="nil"/>
        </w:pBdr>
        <w:tabs>
          <w:tab w:val="left" w:pos="142"/>
        </w:tabs>
        <w:spacing w:before="240" w:after="120" w:line="240" w:lineRule="auto"/>
        <w:rPr>
          <w:rFonts w:ascii="Arial" w:eastAsia="Arial" w:hAnsi="Arial" w:cs="Arial"/>
          <w:b/>
          <w:smallCaps/>
          <w:color w:val="000000"/>
          <w:sz w:val="24"/>
          <w:szCs w:val="24"/>
        </w:rPr>
      </w:pPr>
      <w:bookmarkStart w:id="1" w:name="_heading=h.gjdgxs" w:colFirst="0" w:colLast="0"/>
      <w:bookmarkEnd w:id="1"/>
      <w:r>
        <w:rPr>
          <w:rFonts w:ascii="Arial Bold" w:eastAsia="Arial Bold" w:hAnsi="Arial Bold" w:cs="Arial Bold"/>
          <w:b/>
          <w:color w:val="000000"/>
          <w:sz w:val="24"/>
          <w:szCs w:val="24"/>
        </w:rPr>
        <w:t>Definitions</w:t>
      </w:r>
    </w:p>
    <w:p w14:paraId="2C95C012" w14:textId="77777777" w:rsidR="00E53645" w:rsidRDefault="00B933F9">
      <w:pPr>
        <w:ind w:left="720"/>
        <w:rPr>
          <w:rFonts w:ascii="Arial" w:eastAsia="Arial" w:hAnsi="Arial" w:cs="Arial"/>
          <w:sz w:val="24"/>
          <w:szCs w:val="24"/>
        </w:rPr>
      </w:pPr>
      <w:r>
        <w:rPr>
          <w:rFonts w:ascii="Arial" w:eastAsia="Arial" w:hAnsi="Arial" w:cs="Arial"/>
          <w:b/>
          <w:sz w:val="24"/>
          <w:szCs w:val="24"/>
        </w:rPr>
        <w:t>“Relevant Conviction”</w:t>
      </w:r>
      <w:r>
        <w:rPr>
          <w:rFonts w:ascii="Arial" w:eastAsia="Arial" w:hAnsi="Arial" w:cs="Arial"/>
          <w:sz w:val="24"/>
          <w:szCs w:val="24"/>
        </w:rPr>
        <w:t xml:space="preserve"> means any conviction listed in Annex 1 to this Schedule. </w:t>
      </w:r>
    </w:p>
    <w:p w14:paraId="2C95C013" w14:textId="77777777" w:rsidR="00E53645" w:rsidRDefault="00B933F9">
      <w:pPr>
        <w:numPr>
          <w:ilvl w:val="0"/>
          <w:numId w:val="1"/>
        </w:numPr>
        <w:pBdr>
          <w:top w:val="nil"/>
          <w:left w:val="nil"/>
          <w:bottom w:val="nil"/>
          <w:right w:val="nil"/>
          <w:between w:val="nil"/>
        </w:pBdr>
        <w:tabs>
          <w:tab w:val="left" w:pos="142"/>
        </w:tabs>
        <w:spacing w:before="240" w:after="120" w:line="240" w:lineRule="auto"/>
        <w:rPr>
          <w:rFonts w:ascii="Arial Bold" w:eastAsia="Arial Bold" w:hAnsi="Arial Bold" w:cs="Arial Bold"/>
          <w:b/>
          <w:color w:val="000000"/>
          <w:sz w:val="24"/>
          <w:szCs w:val="24"/>
        </w:rPr>
      </w:pPr>
      <w:r>
        <w:rPr>
          <w:rFonts w:ascii="Arial Bold" w:eastAsia="Arial Bold" w:hAnsi="Arial Bold" w:cs="Arial Bold"/>
          <w:b/>
          <w:color w:val="000000"/>
          <w:sz w:val="24"/>
          <w:szCs w:val="24"/>
        </w:rPr>
        <w:t>Relevant Convictions</w:t>
      </w:r>
    </w:p>
    <w:p w14:paraId="2C95C014" w14:textId="77777777" w:rsidR="00E53645" w:rsidRDefault="00B933F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The Supplier must ensure that no person who discloses that they have a Relevant Conviction, or a person who is found to have any Relevant Convictions (whether as a result of a police check or through the procedure of the Disclosure and Barring Service (DBS) or otherwise), is employed or engaged in any part of the provision of the Deliverables without Approval.</w:t>
      </w:r>
    </w:p>
    <w:p w14:paraId="2C95C015" w14:textId="77777777" w:rsidR="00E53645" w:rsidRDefault="00B933F9">
      <w:pPr>
        <w:numPr>
          <w:ilvl w:val="1"/>
          <w:numId w:val="1"/>
        </w:numPr>
        <w:pBdr>
          <w:top w:val="nil"/>
          <w:left w:val="nil"/>
          <w:bottom w:val="nil"/>
          <w:right w:val="nil"/>
          <w:between w:val="nil"/>
        </w:pBdr>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Notwithstanding Paragraph 3.1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w:t>
      </w:r>
    </w:p>
    <w:p w14:paraId="2C95C016"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carry out a check with the records held by the Department for Education (DfE);</w:t>
      </w:r>
    </w:p>
    <w:p w14:paraId="2C95C017"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conduct thorough questioning regarding any Relevant Convictions; and</w:t>
      </w:r>
    </w:p>
    <w:p w14:paraId="2C95C018" w14:textId="77777777" w:rsidR="00E53645" w:rsidRDefault="00B933F9">
      <w:pPr>
        <w:numPr>
          <w:ilvl w:val="3"/>
          <w:numId w:val="1"/>
        </w:numPr>
        <w:pBdr>
          <w:top w:val="nil"/>
          <w:left w:val="nil"/>
          <w:bottom w:val="nil"/>
          <w:right w:val="nil"/>
          <w:between w:val="nil"/>
        </w:pBdr>
        <w:tabs>
          <w:tab w:val="left" w:pos="1134"/>
        </w:tabs>
        <w:spacing w:before="120" w:after="120" w:line="240" w:lineRule="auto"/>
        <w:ind w:left="2835" w:hanging="708"/>
        <w:rPr>
          <w:rFonts w:ascii="Arial" w:eastAsia="Arial" w:hAnsi="Arial" w:cs="Arial"/>
          <w:color w:val="000000"/>
          <w:sz w:val="24"/>
          <w:szCs w:val="24"/>
        </w:rPr>
      </w:pPr>
      <w:r>
        <w:rPr>
          <w:rFonts w:ascii="Arial" w:eastAsia="Arial" w:hAnsi="Arial" w:cs="Arial"/>
          <w:color w:val="000000"/>
          <w:sz w:val="24"/>
          <w:szCs w:val="24"/>
        </w:rPr>
        <w:t>ensure a police check is completed and such other checks as may be carried out through the Disclosure and Barring Service (DBS),</w:t>
      </w:r>
    </w:p>
    <w:p w14:paraId="2C95C019" w14:textId="77777777" w:rsidR="00E53645" w:rsidRDefault="00B933F9">
      <w:pPr>
        <w:pBdr>
          <w:top w:val="nil"/>
          <w:left w:val="nil"/>
          <w:bottom w:val="nil"/>
          <w:right w:val="nil"/>
          <w:between w:val="nil"/>
        </w:pBdr>
        <w:tabs>
          <w:tab w:val="left" w:pos="2127"/>
        </w:tabs>
        <w:spacing w:before="120" w:after="120" w:line="240" w:lineRule="auto"/>
        <w:ind w:left="2127"/>
        <w:rPr>
          <w:rFonts w:ascii="Arial" w:eastAsia="Arial" w:hAnsi="Arial" w:cs="Arial"/>
          <w:color w:val="000000"/>
          <w:sz w:val="24"/>
          <w:szCs w:val="24"/>
        </w:rPr>
      </w:pPr>
      <w:r>
        <w:rPr>
          <w:rFonts w:ascii="Arial" w:eastAsia="Arial" w:hAnsi="Arial" w:cs="Arial"/>
          <w:color w:val="000000"/>
          <w:sz w:val="24"/>
          <w:szCs w:val="24"/>
        </w:rPr>
        <w:t xml:space="preserve">and the Supplier shall not (and shall ensure that any </w:t>
      </w:r>
      <w:r>
        <w:rPr>
          <w:rFonts w:ascii="Arial" w:eastAsia="Arial" w:hAnsi="Arial" w:cs="Arial"/>
          <w:sz w:val="24"/>
          <w:szCs w:val="24"/>
        </w:rPr>
        <w:t>Subcontractor</w:t>
      </w:r>
      <w:r>
        <w:rPr>
          <w:rFonts w:ascii="Arial" w:eastAsia="Arial" w:hAnsi="Arial" w:cs="Arial"/>
          <w:color w:val="000000"/>
          <w:sz w:val="24"/>
          <w:szCs w:val="24"/>
        </w:rPr>
        <w:t xml:space="preserve"> shall not) engage or continue to employ in the provision of the Deliverables any person who has a Relevant Conviction or an inappropriate record.</w:t>
      </w:r>
    </w:p>
    <w:p w14:paraId="2C95C01A" w14:textId="77777777" w:rsidR="00E53645" w:rsidRDefault="00B933F9">
      <w:pPr>
        <w:rPr>
          <w:rFonts w:ascii="Arial" w:eastAsia="Arial" w:hAnsi="Arial" w:cs="Arial"/>
          <w:b/>
          <w:smallCaps/>
          <w:sz w:val="20"/>
          <w:szCs w:val="20"/>
        </w:rPr>
      </w:pPr>
      <w:bookmarkStart w:id="3" w:name="_heading=h.1fob9te" w:colFirst="0" w:colLast="0"/>
      <w:bookmarkEnd w:id="3"/>
      <w:r>
        <w:br w:type="page"/>
      </w:r>
    </w:p>
    <w:p w14:paraId="2C95C01B" w14:textId="77777777" w:rsidR="00E53645" w:rsidRDefault="00E53645">
      <w:pPr>
        <w:keepNext/>
        <w:rPr>
          <w:rFonts w:ascii="Arial" w:eastAsia="Arial" w:hAnsi="Arial" w:cs="Arial"/>
          <w:b/>
          <w:sz w:val="36"/>
          <w:szCs w:val="36"/>
        </w:rPr>
      </w:pPr>
    </w:p>
    <w:p w14:paraId="2C95C01C" w14:textId="77777777" w:rsidR="00E53645" w:rsidRDefault="00B933F9">
      <w:pPr>
        <w:keepNext/>
        <w:rPr>
          <w:rFonts w:ascii="Arial" w:eastAsia="Arial" w:hAnsi="Arial" w:cs="Arial"/>
          <w:b/>
          <w:sz w:val="36"/>
          <w:szCs w:val="36"/>
        </w:rPr>
      </w:pPr>
      <w:r>
        <w:rPr>
          <w:rFonts w:ascii="Arial" w:eastAsia="Arial" w:hAnsi="Arial" w:cs="Arial"/>
          <w:b/>
          <w:sz w:val="36"/>
          <w:szCs w:val="36"/>
        </w:rPr>
        <w:t>Annex 1 – Relevant Convictions</w:t>
      </w:r>
    </w:p>
    <w:p w14:paraId="6547631F" w14:textId="77777777" w:rsidR="005B2CF7" w:rsidRDefault="005B2CF7" w:rsidP="005B2CF7">
      <w:pPr>
        <w:rPr>
          <w:rFonts w:ascii="Arial" w:eastAsia="Arial" w:hAnsi="Arial" w:cs="Arial"/>
          <w:bCs/>
          <w:sz w:val="24"/>
          <w:szCs w:val="24"/>
        </w:rPr>
      </w:pPr>
      <w:r w:rsidRPr="00FD6D42">
        <w:rPr>
          <w:rFonts w:ascii="Arial" w:eastAsia="Arial" w:hAnsi="Arial" w:cs="Arial"/>
          <w:bCs/>
          <w:sz w:val="24"/>
          <w:szCs w:val="24"/>
        </w:rPr>
        <w:t xml:space="preserve">Any </w:t>
      </w:r>
      <w:r w:rsidRPr="00A95492">
        <w:rPr>
          <w:rFonts w:ascii="Arial" w:eastAsia="Arial" w:hAnsi="Arial" w:cs="Arial"/>
          <w:bCs/>
          <w:sz w:val="24"/>
          <w:szCs w:val="24"/>
        </w:rPr>
        <w:t xml:space="preserve">Conviction that the Buyer deems to be relevant in relation to the delivery of any part of the </w:t>
      </w:r>
      <w:r>
        <w:rPr>
          <w:rFonts w:ascii="Arial" w:eastAsia="Arial" w:hAnsi="Arial" w:cs="Arial"/>
          <w:bCs/>
          <w:sz w:val="24"/>
          <w:szCs w:val="24"/>
        </w:rPr>
        <w:t xml:space="preserve">Call-Off </w:t>
      </w:r>
      <w:r w:rsidRPr="00A95492">
        <w:rPr>
          <w:rFonts w:ascii="Arial" w:eastAsia="Arial" w:hAnsi="Arial" w:cs="Arial"/>
          <w:bCs/>
          <w:sz w:val="24"/>
          <w:szCs w:val="24"/>
        </w:rPr>
        <w:t xml:space="preserve">Contract. In the case of a criminal Conviction, each case is assessed individually, as part of the Security Clearance process. It is therefore a requirement of this </w:t>
      </w:r>
      <w:r>
        <w:rPr>
          <w:rFonts w:ascii="Arial" w:eastAsia="Arial" w:hAnsi="Arial" w:cs="Arial"/>
          <w:bCs/>
          <w:sz w:val="24"/>
          <w:szCs w:val="24"/>
        </w:rPr>
        <w:t xml:space="preserve">Call-Off </w:t>
      </w:r>
      <w:r w:rsidRPr="00A95492">
        <w:rPr>
          <w:rFonts w:ascii="Arial" w:eastAsia="Arial" w:hAnsi="Arial" w:cs="Arial"/>
          <w:bCs/>
          <w:sz w:val="24"/>
          <w:szCs w:val="24"/>
        </w:rPr>
        <w:t xml:space="preserve">Contract that the </w:t>
      </w:r>
      <w:r>
        <w:rPr>
          <w:rFonts w:ascii="Arial" w:eastAsia="Arial" w:hAnsi="Arial" w:cs="Arial"/>
          <w:bCs/>
          <w:sz w:val="24"/>
          <w:szCs w:val="24"/>
        </w:rPr>
        <w:t xml:space="preserve">Supplier </w:t>
      </w:r>
      <w:r w:rsidRPr="00A95492">
        <w:rPr>
          <w:rFonts w:ascii="Arial" w:eastAsia="Arial" w:hAnsi="Arial" w:cs="Arial"/>
          <w:bCs/>
          <w:sz w:val="24"/>
          <w:szCs w:val="24"/>
        </w:rPr>
        <w:t xml:space="preserve">ensures all persons employed or engaged in delivering any part of the </w:t>
      </w:r>
      <w:r>
        <w:rPr>
          <w:rFonts w:ascii="Arial" w:eastAsia="Arial" w:hAnsi="Arial" w:cs="Arial"/>
          <w:bCs/>
          <w:sz w:val="24"/>
          <w:szCs w:val="24"/>
        </w:rPr>
        <w:t xml:space="preserve">Call-Off </w:t>
      </w:r>
      <w:r w:rsidRPr="00A95492">
        <w:rPr>
          <w:rFonts w:ascii="Arial" w:eastAsia="Arial" w:hAnsi="Arial" w:cs="Arial"/>
          <w:bCs/>
          <w:sz w:val="24"/>
          <w:szCs w:val="24"/>
        </w:rPr>
        <w:t>Contract obtain and maintain the relevant levels of Security Clearance</w:t>
      </w:r>
      <w:r>
        <w:rPr>
          <w:rFonts w:ascii="Arial" w:eastAsia="Arial" w:hAnsi="Arial" w:cs="Arial"/>
          <w:bCs/>
          <w:sz w:val="24"/>
          <w:szCs w:val="24"/>
        </w:rPr>
        <w:t xml:space="preserve">. </w:t>
      </w:r>
    </w:p>
    <w:p w14:paraId="7EB29485" w14:textId="77777777" w:rsidR="005B2CF7" w:rsidRDefault="005B2CF7" w:rsidP="005B2CF7">
      <w:pPr>
        <w:rPr>
          <w:rFonts w:ascii="Arial" w:eastAsia="Arial" w:hAnsi="Arial" w:cs="Arial"/>
          <w:bCs/>
          <w:sz w:val="24"/>
          <w:szCs w:val="24"/>
        </w:rPr>
      </w:pPr>
      <w:r>
        <w:rPr>
          <w:rFonts w:ascii="Arial" w:eastAsia="Arial" w:hAnsi="Arial" w:cs="Arial"/>
          <w:bCs/>
          <w:sz w:val="24"/>
          <w:szCs w:val="24"/>
        </w:rPr>
        <w:t xml:space="preserve">For the purposes of this Call-Off Contact </w:t>
      </w:r>
      <w:r w:rsidRPr="00FD6D42">
        <w:rPr>
          <w:rFonts w:ascii="Arial" w:eastAsia="Arial" w:hAnsi="Arial" w:cs="Arial"/>
          <w:bCs/>
          <w:sz w:val="24"/>
          <w:szCs w:val="24"/>
        </w:rPr>
        <w:t>“</w:t>
      </w:r>
      <w:r w:rsidRPr="00C77BC7">
        <w:rPr>
          <w:rFonts w:ascii="Arial" w:eastAsia="Arial" w:hAnsi="Arial" w:cs="Arial"/>
          <w:b/>
          <w:sz w:val="24"/>
          <w:szCs w:val="24"/>
        </w:rPr>
        <w:t>Conviction</w:t>
      </w:r>
      <w:r w:rsidRPr="00FD6D42">
        <w:rPr>
          <w:rFonts w:ascii="Arial" w:eastAsia="Arial" w:hAnsi="Arial" w:cs="Arial"/>
          <w:bCs/>
          <w:sz w:val="24"/>
          <w:szCs w:val="24"/>
        </w:rPr>
        <w:t>” means</w:t>
      </w:r>
      <w:r>
        <w:rPr>
          <w:rFonts w:ascii="Arial" w:eastAsia="Arial" w:hAnsi="Arial" w:cs="Arial"/>
          <w:bCs/>
          <w:sz w:val="24"/>
          <w:szCs w:val="24"/>
        </w:rPr>
        <w:t>,</w:t>
      </w:r>
      <w:r w:rsidRPr="00FD6D42">
        <w:rPr>
          <w:rFonts w:ascii="Arial" w:eastAsia="Arial" w:hAnsi="Arial" w:cs="Arial"/>
          <w:bCs/>
          <w:sz w:val="24"/>
          <w:szCs w:val="24"/>
        </w:rPr>
        <w:t xml:space="preserve"> other than for minor road traffic offences, any previous or pending prosecutions, convictions and binding over orders (including any spent convictions as contemplated by section 1(1) of the Rehabilitation of Offenders Act 1974 by virtue of the exemptions specified in Part II of Schedule 1 of the Rehabilitation of offenders Act 1974 (Exemptions) Order 1975 (SI 1975/1023) or any replacement or amendment to that Order, or being placed on a list kept pursuant to section 1 of the Protection of Children Act 1999 or being placed on a list kept pursuant to the Safeguarding Vulnerable Groups Act 2006.</w:t>
      </w:r>
    </w:p>
    <w:p w14:paraId="50303AAA" w14:textId="77777777" w:rsidR="005B2CF7" w:rsidRDefault="005B2CF7">
      <w:pPr>
        <w:rPr>
          <w:rFonts w:ascii="Arial" w:eastAsia="Arial" w:hAnsi="Arial" w:cs="Arial"/>
          <w:sz w:val="24"/>
          <w:szCs w:val="24"/>
        </w:rPr>
      </w:pPr>
    </w:p>
    <w:p w14:paraId="2C95C01F" w14:textId="77777777" w:rsidR="00E53645" w:rsidRDefault="00E53645"/>
    <w:sectPr w:rsidR="00E53645">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9264BF" w14:textId="77777777" w:rsidR="00DD3E98" w:rsidRDefault="00DD3E98">
      <w:pPr>
        <w:spacing w:after="0" w:line="240" w:lineRule="auto"/>
      </w:pPr>
      <w:r>
        <w:separator/>
      </w:r>
    </w:p>
  </w:endnote>
  <w:endnote w:type="continuationSeparator" w:id="0">
    <w:p w14:paraId="6134DA85" w14:textId="77777777" w:rsidR="00DD3E98" w:rsidRDefault="00DD3E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pitch w:val="default"/>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5C027" w14:textId="77777777" w:rsidR="00E53645" w:rsidRDefault="00E53645">
    <w:pPr>
      <w:tabs>
        <w:tab w:val="center" w:pos="4513"/>
        <w:tab w:val="right" w:pos="9026"/>
      </w:tabs>
      <w:spacing w:after="0"/>
      <w:rPr>
        <w:rFonts w:ascii="Arial" w:eastAsia="Arial" w:hAnsi="Arial" w:cs="Arial"/>
        <w:sz w:val="20"/>
        <w:szCs w:val="20"/>
      </w:rPr>
    </w:pPr>
  </w:p>
  <w:p w14:paraId="2C95C028"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RM6219 Learning and Training</w:t>
    </w:r>
  </w:p>
  <w:p w14:paraId="2C95C029" w14:textId="135B6D7D"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C28D7">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2C95C02A" w14:textId="77777777" w:rsidR="00E53645" w:rsidRDefault="00B933F9">
    <w:pPr>
      <w:spacing w:after="0" w:line="240" w:lineRule="auto"/>
      <w:jc w:val="both"/>
      <w:rPr>
        <w:rFonts w:ascii="Arial" w:eastAsia="Arial" w:hAnsi="Arial" w:cs="Arial"/>
        <w:sz w:val="18"/>
        <w:szCs w:val="18"/>
      </w:rPr>
    </w:pPr>
    <w:r>
      <w:rPr>
        <w:rFonts w:ascii="Arial" w:eastAsia="Arial" w:hAnsi="Arial" w:cs="Arial"/>
        <w:sz w:val="20"/>
        <w:szCs w:val="20"/>
      </w:rPr>
      <w:t>Model Version: v1.0</w:t>
    </w:r>
    <w:bookmarkStart w:id="4" w:name="bookmark=id.3znysh7" w:colFirst="0" w:colLast="0"/>
    <w:bookmarkEnd w:id="4"/>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5C02B"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DPS Ref: RM</w:t>
    </w:r>
    <w:r>
      <w:rPr>
        <w:rFonts w:ascii="Arial" w:eastAsia="Arial" w:hAnsi="Arial" w:cs="Arial"/>
        <w:sz w:val="20"/>
        <w:szCs w:val="20"/>
      </w:rPr>
      <w:tab/>
      <w:t xml:space="preserve">                                           </w:t>
    </w:r>
  </w:p>
  <w:p w14:paraId="2C95C02C" w14:textId="77777777" w:rsidR="00E53645" w:rsidRDefault="00B933F9">
    <w:pPr>
      <w:tabs>
        <w:tab w:val="center" w:pos="4513"/>
        <w:tab w:val="right" w:pos="9026"/>
      </w:tabs>
      <w:spacing w:after="0"/>
      <w:rPr>
        <w:rFonts w:ascii="Arial" w:eastAsia="Arial" w:hAnsi="Arial" w:cs="Arial"/>
        <w:sz w:val="20"/>
        <w:szCs w:val="20"/>
      </w:rPr>
    </w:pPr>
    <w:r>
      <w:rPr>
        <w:rFonts w:ascii="Arial" w:eastAsia="Arial" w:hAnsi="Arial" w:cs="Arial"/>
        <w:sz w:val="20"/>
        <w:szCs w:val="20"/>
      </w:rPr>
      <w:t>Project Version: v1.0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t xml:space="preserve"> 1</w:t>
    </w:r>
  </w:p>
  <w:p w14:paraId="2C95C02D"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v3.0</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52C65" w14:textId="77777777" w:rsidR="00DD3E98" w:rsidRDefault="00DD3E98">
      <w:pPr>
        <w:spacing w:after="0" w:line="240" w:lineRule="auto"/>
      </w:pPr>
      <w:r>
        <w:separator/>
      </w:r>
    </w:p>
  </w:footnote>
  <w:footnote w:type="continuationSeparator" w:id="0">
    <w:p w14:paraId="341BBF11" w14:textId="77777777" w:rsidR="00DD3E98" w:rsidRDefault="00DD3E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95C024"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Order Schedule 18 (Background Checks)</w:t>
    </w:r>
  </w:p>
  <w:p w14:paraId="2C95C025"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Order Ref:</w:t>
    </w:r>
  </w:p>
  <w:p w14:paraId="2C95C026" w14:textId="77777777" w:rsidR="00E53645" w:rsidRDefault="00B933F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190A29"/>
    <w:multiLevelType w:val="multilevel"/>
    <w:tmpl w:val="E99E1608"/>
    <w:lvl w:ilvl="0">
      <w:start w:val="1"/>
      <w:numFmt w:val="decimal"/>
      <w:pStyle w:val="GPSL1CLAUSEHEADING"/>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40" w:hanging="720"/>
      </w:pPr>
      <w:rPr>
        <w:rFonts w:ascii="Calibri" w:eastAsia="Calibri" w:hAnsi="Calibri" w:cs="Calibri"/>
        <w:b w:val="0"/>
        <w:i w:val="0"/>
        <w:smallCaps w:val="0"/>
        <w:strike w:val="0"/>
        <w:color w:val="000000"/>
        <w:sz w:val="22"/>
        <w:szCs w:val="22"/>
        <w:u w:val="none"/>
        <w:vertAlign w:val="baseline"/>
      </w:rPr>
    </w:lvl>
    <w:lvl w:ilvl="2">
      <w:start w:val="1"/>
      <w:numFmt w:val="decimal"/>
      <w:pStyle w:val="GPSL3numberedclause"/>
      <w:lvlText w:val="%1.%2.%3"/>
      <w:lvlJc w:val="left"/>
      <w:pPr>
        <w:ind w:left="1996"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3600" w:hanging="72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F386B5B"/>
    <w:multiLevelType w:val="multilevel"/>
    <w:tmpl w:val="7C72A6DC"/>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645"/>
    <w:rsid w:val="005B2CF7"/>
    <w:rsid w:val="00B933F9"/>
    <w:rsid w:val="00CD07B6"/>
    <w:rsid w:val="00DD3E98"/>
    <w:rsid w:val="00DE462F"/>
    <w:rsid w:val="00E53645"/>
    <w:rsid w:val="00FC28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95C00E"/>
  <w15:docId w15:val="{92946226-18E9-43A4-981F-3A38D592B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tabs>
        <w:tab w:val="num" w:pos="720"/>
      </w:tabs>
      <w:adjustRightInd w:val="0"/>
      <w:spacing w:after="240" w:line="240" w:lineRule="auto"/>
      <w:ind w:left="720" w:hanging="720"/>
      <w:jc w:val="both"/>
    </w:pPr>
    <w:rPr>
      <w:rFonts w:eastAsia="Times New Roman"/>
      <w:lang w:eastAsia="zh-CN"/>
    </w:rPr>
  </w:style>
  <w:style w:type="character" w:customStyle="1" w:styleId="BodyTextIndentChar">
    <w:name w:val="Body Text Indent Char"/>
    <w:basedOn w:val="DefaultParagraphFont"/>
    <w:link w:val="BodyTextIndent"/>
    <w:rPr>
      <w:rFonts w:eastAsia="Times New Roman"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character" w:customStyle="1" w:styleId="GPSL2NumberedBoldHeadingChar">
    <w:name w:val="GPS L2 Numbered Bold Heading Char"/>
    <w:link w:val="GPSL2NumberedBoldHeading"/>
    <w:rsid w:val="00633ACA"/>
    <w:rPr>
      <w:rFonts w:ascii="Calibri" w:eastAsia="Times New Roman" w:hAnsi="Calibri" w:cs="Arial"/>
      <w:lang w:eastAsia="zh-CN"/>
    </w:rPr>
  </w:style>
  <w:style w:type="paragraph" w:customStyle="1" w:styleId="GPSL3Indent">
    <w:name w:val="GPS L3 Indent"/>
    <w:basedOn w:val="Normal"/>
    <w:rsid w:val="00633ACA"/>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ndgs4tjcTsE0R1/R4zQmqOSlA==">AMUW2mVXhfDK/YQakxix6RBzsRM2l/Lk83kDYZS7r5y4E2YfDY4PStrBMKB9rcNw01gjJclciavOi1IiRjdtypEvf82/JaDkmazlYHR6zjWgsVLICMf5bAjoKYiQDuN3vfQpKTUVXbRMR3zSpxGo11U6v/Sx9YZMY/v2YxfbEWwkm0PJBopYCYE=</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391</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Damian Johnston</cp:lastModifiedBy>
  <cp:revision>2</cp:revision>
  <dcterms:created xsi:type="dcterms:W3CDTF">2025-10-15T15:34:00Z</dcterms:created>
  <dcterms:modified xsi:type="dcterms:W3CDTF">2025-10-15T15:34:00Z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SIP_Label_bfcbf6d0-03b3-4cea-b8dd-cbea814921e4_Enabled">
    <vt:lpwstr>true</vt:lpwstr>
  </property>
  <property fmtid="{D5CDD505-2E9C-101B-9397-08002B2CF9AE}" pid="4" name="MSIP_Label_bfcbf6d0-03b3-4cea-b8dd-cbea814921e4_SetDate">
    <vt:lpwstr>2025-06-06T07:43:20Z</vt:lpwstr>
  </property>
  <property fmtid="{D5CDD505-2E9C-101B-9397-08002B2CF9AE}" pid="5" name="MSIP_Label_bfcbf6d0-03b3-4cea-b8dd-cbea814921e4_Method">
    <vt:lpwstr>Standard</vt:lpwstr>
  </property>
  <property fmtid="{D5CDD505-2E9C-101B-9397-08002B2CF9AE}" pid="6" name="MSIP_Label_bfcbf6d0-03b3-4cea-b8dd-cbea814921e4_Name">
    <vt:lpwstr>GENERAL</vt:lpwstr>
  </property>
  <property fmtid="{D5CDD505-2E9C-101B-9397-08002B2CF9AE}" pid="7" name="MSIP_Label_bfcbf6d0-03b3-4cea-b8dd-cbea814921e4_SiteId">
    <vt:lpwstr>72654b74-be02-4361-a627-16b132e3fdd0</vt:lpwstr>
  </property>
  <property fmtid="{D5CDD505-2E9C-101B-9397-08002B2CF9AE}" pid="8" name="MSIP_Label_bfcbf6d0-03b3-4cea-b8dd-cbea814921e4_ActionId">
    <vt:lpwstr>6e1fd621-8761-433a-b6d8-4b6d1f5193bf</vt:lpwstr>
  </property>
  <property fmtid="{D5CDD505-2E9C-101B-9397-08002B2CF9AE}" pid="9" name="MSIP_Label_bfcbf6d0-03b3-4cea-b8dd-cbea814921e4_ContentBits">
    <vt:lpwstr>0</vt:lpwstr>
  </property>
</Properties>
</file>